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1013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449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года</w:t>
            </w:r>
          </w:p>
        </w:tc>
      </w:tr>
    </w:tbl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Магнсийского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участием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Разяповой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 час.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 невнятную речь, резкий запах алкоголя из полости рта, неопрятный внешний вид, чем вызвал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а,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а, что действительно 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указанные в протоколе время и месте в состоянии алкогольного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заслушав объяснения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398359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свидетеля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02.08.2025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фотоотчетом; рапортом от </w:t>
      </w:r>
      <w:r>
        <w:rPr>
          <w:rFonts w:ascii="Times New Roman" w:eastAsia="Times New Roman" w:hAnsi="Times New Roman" w:cs="Times New Roman"/>
          <w:sz w:val="28"/>
          <w:szCs w:val="28"/>
        </w:rPr>
        <w:t>02.08.2025</w:t>
      </w:r>
      <w:r>
        <w:rPr>
          <w:rFonts w:ascii="Times New Roman" w:eastAsia="Times New Roman" w:hAnsi="Times New Roman" w:cs="Times New Roman"/>
          <w:sz w:val="28"/>
          <w:szCs w:val="28"/>
        </w:rPr>
        <w:t>; справкой на лицо по учетам СООП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совершенному правонарушению, суд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Разяпову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 часов 00 минут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5rplc-4">
    <w:name w:val="cat-Address grp-5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